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1C" w:rsidRPr="003B2450" w:rsidRDefault="0032681C"/>
    <w:p w:rsidR="0032681C" w:rsidRDefault="0032681C" w:rsidP="0032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32681C" w:rsidRDefault="0032681C" w:rsidP="0032681C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</w:t>
      </w:r>
      <w:r w:rsidR="00CD6AEE">
        <w:rPr>
          <w:rFonts w:ascii="Times New Roman" w:hAnsi="Times New Roman" w:cs="Times New Roman"/>
          <w:sz w:val="24"/>
          <w:szCs w:val="24"/>
        </w:rPr>
        <w:t>ь для оказания эффективной помощ</w:t>
      </w:r>
      <w:r>
        <w:rPr>
          <w:rFonts w:ascii="Times New Roman" w:hAnsi="Times New Roman" w:cs="Times New Roman"/>
          <w:sz w:val="24"/>
          <w:szCs w:val="24"/>
        </w:rPr>
        <w:t>и оказавшемуся в беде другу или знакомому.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</w:t>
      </w:r>
      <w:r>
        <w:rPr>
          <w:rFonts w:ascii="Times New Roman" w:hAnsi="Times New Roman" w:cs="Times New Roman"/>
          <w:sz w:val="24"/>
          <w:szCs w:val="24"/>
        </w:rPr>
        <w:lastRenderedPageBreak/>
        <w:t>еще мог бы помочь в этой ситуации.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70"/>
      </w:tblGrid>
      <w:tr w:rsidR="0032681C" w:rsidTr="0032681C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2681C" w:rsidTr="0032681C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32681C" w:rsidTr="0032681C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32681C" w:rsidTr="0032681C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32681C" w:rsidTr="0032681C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32681C" w:rsidTr="0032681C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CD6AEE" w:rsidRDefault="00CD6AEE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E" w:rsidRDefault="00CD6AEE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как правило, психически здоровы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32681C" w:rsidRDefault="0032681C" w:rsidP="00CD6A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вести себя как “психи”,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</w:t>
      </w:r>
      <w:r>
        <w:rPr>
          <w:rFonts w:ascii="Times New Roman" w:hAnsi="Times New Roman" w:cs="Times New Roman"/>
          <w:sz w:val="24"/>
          <w:szCs w:val="24"/>
        </w:rPr>
        <w:lastRenderedPageBreak/>
        <w:t>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что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EE" w:rsidRDefault="0032681C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FA75B2" w:rsidRPr="00CD6AEE" w:rsidRDefault="00FA75B2" w:rsidP="00FA75B2">
      <w:pPr>
        <w:rPr>
          <w:rFonts w:ascii="Times New Roman" w:hAnsi="Times New Roman" w:cs="Times New Roman"/>
          <w:sz w:val="28"/>
          <w:szCs w:val="28"/>
        </w:rPr>
      </w:pPr>
      <w:bookmarkStart w:id="0" w:name="_Hlk56623067"/>
      <w:bookmarkStart w:id="1" w:name="_GoBack"/>
      <w:bookmarkEnd w:id="1"/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bookmarkEnd w:id="0"/>
    <w:p w:rsidR="00CD6AEE" w:rsidRPr="00CD6AEE" w:rsidRDefault="00CD6AEE">
      <w:pPr>
        <w:rPr>
          <w:rFonts w:ascii="Times New Roman" w:hAnsi="Times New Roman" w:cs="Times New Roman"/>
          <w:sz w:val="28"/>
          <w:szCs w:val="28"/>
        </w:rPr>
      </w:pPr>
    </w:p>
    <w:sectPr w:rsidR="00CD6AEE" w:rsidRPr="00CD6AEE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12"/>
    <w:rsid w:val="002160E7"/>
    <w:rsid w:val="0032681C"/>
    <w:rsid w:val="003B2450"/>
    <w:rsid w:val="004363CB"/>
    <w:rsid w:val="006C2A7B"/>
    <w:rsid w:val="00810E67"/>
    <w:rsid w:val="0085690C"/>
    <w:rsid w:val="00AC4A2D"/>
    <w:rsid w:val="00BB15FD"/>
    <w:rsid w:val="00BC3612"/>
    <w:rsid w:val="00C21569"/>
    <w:rsid w:val="00CD6AEE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70DF"/>
  <w15:docId w15:val="{58B10AD0-B897-47E3-AC4E-233662CE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10</cp:revision>
  <cp:lastPrinted>2012-04-17T15:47:00Z</cp:lastPrinted>
  <dcterms:created xsi:type="dcterms:W3CDTF">2012-04-16T15:04:00Z</dcterms:created>
  <dcterms:modified xsi:type="dcterms:W3CDTF">2020-11-18T17:18:00Z</dcterms:modified>
</cp:coreProperties>
</file>