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B7" w:rsidRDefault="002A5AB7" w:rsidP="002A5AB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="008F6B2A">
        <w:rPr>
          <w:rFonts w:ascii="Times New Roman" w:hAnsi="Times New Roman"/>
          <w:sz w:val="28"/>
          <w:szCs w:val="28"/>
          <w:lang w:eastAsia="ru-RU"/>
        </w:rPr>
        <w:t>Тимирязевская</w:t>
      </w:r>
      <w:proofErr w:type="spellEnd"/>
      <w:r w:rsidR="008F6B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ООШ Азовского района</w:t>
      </w:r>
    </w:p>
    <w:p w:rsidR="002A5AB7" w:rsidRDefault="002A5AB7" w:rsidP="002A5AB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AB7" w:rsidRDefault="002A5AB7" w:rsidP="002A5AB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AB7" w:rsidRDefault="002A5AB7" w:rsidP="002A5AB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5AB7">
        <w:rPr>
          <w:rFonts w:ascii="Times New Roman" w:hAnsi="Times New Roman"/>
          <w:sz w:val="28"/>
          <w:szCs w:val="28"/>
          <w:lang w:eastAsia="ru-RU"/>
        </w:rPr>
        <w:t>Государственная  итоговая   аттестация.</w:t>
      </w:r>
    </w:p>
    <w:p w:rsidR="002A5AB7" w:rsidRDefault="002A5AB7" w:rsidP="002A5AB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50D2" w:rsidRPr="009318E3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E3">
        <w:rPr>
          <w:rFonts w:ascii="Times New Roman" w:hAnsi="Times New Roman"/>
          <w:sz w:val="28"/>
          <w:szCs w:val="28"/>
          <w:lang w:eastAsia="ru-RU"/>
        </w:rPr>
        <w:t xml:space="preserve">Государственная итоговая аттестация выпускников IX классов (ГИА-9)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региональными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муниципальными </w:t>
      </w:r>
      <w:r w:rsidRPr="009318E3">
        <w:rPr>
          <w:rFonts w:ascii="Times New Roman" w:hAnsi="Times New Roman"/>
          <w:sz w:val="28"/>
          <w:szCs w:val="28"/>
          <w:lang w:eastAsia="ru-RU"/>
        </w:rPr>
        <w:t>нормативными документами.</w:t>
      </w:r>
    </w:p>
    <w:p w:rsidR="003450D2" w:rsidRPr="009318E3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E3">
        <w:rPr>
          <w:rFonts w:ascii="Times New Roman" w:hAnsi="Times New Roman"/>
          <w:sz w:val="28"/>
          <w:szCs w:val="28"/>
          <w:lang w:eastAsia="ru-RU"/>
        </w:rPr>
        <w:t xml:space="preserve">Государственная итоговая аттестация (далее - ГИА), завершающая освоение образовательных программ основного общего образования, является обязательной. </w:t>
      </w:r>
      <w:proofErr w:type="gramStart"/>
      <w:r w:rsidRPr="009318E3">
        <w:rPr>
          <w:rFonts w:ascii="Times New Roman" w:hAnsi="Times New Roman"/>
          <w:sz w:val="28"/>
          <w:szCs w:val="28"/>
          <w:lang w:eastAsia="ru-RU"/>
        </w:rPr>
        <w:t>Основной государственный экзамен (далее - ОГЭ) - форма государственной итоговой аттестации по образовательным программам основного общего образования, которая проводится с использованием контрольных измерительных материалов, представляющих собой комплексы заданий стандартизированной формы для определения соответствия результатов освоения обучающимися образовательных программ основного общего образования требованиям федерального государственного образовательного стандарта основного общего образования.</w:t>
      </w:r>
      <w:proofErr w:type="gramEnd"/>
      <w:r w:rsidRPr="009318E3">
        <w:rPr>
          <w:rFonts w:ascii="Times New Roman" w:hAnsi="Times New Roman"/>
          <w:sz w:val="28"/>
          <w:szCs w:val="28"/>
          <w:lang w:eastAsia="ru-RU"/>
        </w:rPr>
        <w:t xml:space="preserve"> ОГЭ проводится письменно на русском языке (за исключением ОГЭ по иностранным языкам). </w:t>
      </w:r>
      <w:proofErr w:type="gramStart"/>
      <w:r w:rsidRPr="009318E3">
        <w:rPr>
          <w:rFonts w:ascii="Times New Roman" w:hAnsi="Times New Roman"/>
          <w:sz w:val="28"/>
          <w:szCs w:val="28"/>
          <w:lang w:eastAsia="ru-RU"/>
        </w:rPr>
        <w:t>Государственный выпускной экзамен (далее - ГВЭ) проводится в форме письменных и устных экзаменов с использованием текстов, тем, заданий, билетов для обучающихся с ограниченными возможностями здоровья (ОВЗ), обучающихся детей-инвалидов и инвалидов, освоивших образовательные программы основного общего образования,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  <w:proofErr w:type="gramEnd"/>
    </w:p>
    <w:p w:rsidR="003450D2" w:rsidRPr="009318E3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E3">
        <w:rPr>
          <w:rFonts w:ascii="Times New Roman" w:hAnsi="Times New Roman"/>
          <w:sz w:val="28"/>
          <w:szCs w:val="28"/>
          <w:lang w:eastAsia="ru-RU"/>
        </w:rPr>
        <w:t>Для проведения ГИА по образовательным программам основного общего образования предусматривается единое расписание и продолжительность проведения экзаменов, утверждаемые ежегодно Министерством образования и науки РФ.</w:t>
      </w:r>
    </w:p>
    <w:p w:rsidR="003450D2" w:rsidRPr="009318E3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E3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аттестация, завершающая освоение школьн</w:t>
      </w:r>
      <w:r>
        <w:rPr>
          <w:rFonts w:ascii="Times New Roman" w:hAnsi="Times New Roman"/>
          <w:sz w:val="28"/>
          <w:szCs w:val="28"/>
          <w:lang w:eastAsia="ru-RU"/>
        </w:rPr>
        <w:t>ой программы в 9 классах, в 2016/2017</w:t>
      </w:r>
      <w:r w:rsidRPr="009318E3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9318E3">
        <w:t xml:space="preserve"> </w:t>
      </w:r>
      <w:r w:rsidRPr="009318E3">
        <w:rPr>
          <w:rFonts w:ascii="Times New Roman" w:hAnsi="Times New Roman"/>
          <w:sz w:val="28"/>
          <w:szCs w:val="28"/>
          <w:lang w:eastAsia="ru-RU"/>
        </w:rPr>
        <w:t>предполагает сдачу двух обязательных предметов (русский язык и математика), а также двух предметов по выбору (физика, химия, биология, литература, география, история, обществознание, иностранные языки, информатика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318E3">
        <w:rPr>
          <w:rFonts w:ascii="Times New Roman" w:hAnsi="Times New Roman"/>
          <w:sz w:val="28"/>
          <w:szCs w:val="28"/>
          <w:lang w:eastAsia="ru-RU"/>
        </w:rPr>
        <w:t>коммуникационные технологии). Участники с ОВЗ, дети-инвалиды и инвалиды, по желанию, могли сдавать только обязательные предметы.</w:t>
      </w:r>
    </w:p>
    <w:p w:rsidR="003450D2" w:rsidRPr="009318E3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E3">
        <w:rPr>
          <w:rFonts w:ascii="Times New Roman" w:hAnsi="Times New Roman"/>
          <w:sz w:val="28"/>
          <w:szCs w:val="28"/>
          <w:lang w:eastAsia="ru-RU"/>
        </w:rPr>
        <w:lastRenderedPageBreak/>
        <w:t>Участникам ГИА-9, получившим неудовлетворительный результат по одному из обязательных предметов, предоставляется возможность повторного прохождения аттестации по данному предмету в установленные единым расписанием сроки. В случае</w:t>
      </w:r>
      <w:proofErr w:type="gramStart"/>
      <w:r w:rsidRPr="009318E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318E3">
        <w:rPr>
          <w:rFonts w:ascii="Times New Roman" w:hAnsi="Times New Roman"/>
          <w:sz w:val="28"/>
          <w:szCs w:val="28"/>
          <w:lang w:eastAsia="ru-RU"/>
        </w:rPr>
        <w:t xml:space="preserve"> если выпускник 9 класса получит два неудовлетворительных результата по обязательным предметам, либо повторно неудовлетворительный результат по одному из обязательных предметов, он может быть допущен к пересдач</w:t>
      </w:r>
      <w:r>
        <w:rPr>
          <w:rFonts w:ascii="Times New Roman" w:hAnsi="Times New Roman"/>
          <w:sz w:val="28"/>
          <w:szCs w:val="28"/>
          <w:lang w:eastAsia="ru-RU"/>
        </w:rPr>
        <w:t>е ГИА-9 не ранее 1 сентября 2017</w:t>
      </w:r>
      <w:r w:rsidRPr="009318E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3450D2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18E3">
        <w:rPr>
          <w:rFonts w:ascii="Times New Roman" w:hAnsi="Times New Roman"/>
          <w:sz w:val="28"/>
          <w:szCs w:val="28"/>
          <w:lang w:eastAsia="ru-RU"/>
        </w:rPr>
        <w:t>В 2016/2017 учебном году условием получения аттестата об основном общем образовании будет являться успешное прохождение ими государственной итоговой аттестации по четырём учебным предметам - по обязательным учебным предметам (русский язык и математика), а также по двум учебным предметам по выбору обучающегося.</w:t>
      </w:r>
    </w:p>
    <w:p w:rsidR="003450D2" w:rsidRDefault="003450D2" w:rsidP="009318E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00B3" w:rsidRDefault="003450D2" w:rsidP="001100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B64">
        <w:rPr>
          <w:rFonts w:ascii="Times New Roman" w:hAnsi="Times New Roman"/>
          <w:sz w:val="28"/>
          <w:szCs w:val="28"/>
          <w:lang w:eastAsia="ru-RU"/>
        </w:rPr>
        <w:t>В региональной информационной системе осн</w:t>
      </w:r>
      <w:r>
        <w:rPr>
          <w:rFonts w:ascii="Times New Roman" w:hAnsi="Times New Roman"/>
          <w:sz w:val="28"/>
          <w:szCs w:val="28"/>
          <w:lang w:eastAsia="ru-RU"/>
        </w:rPr>
        <w:t>овного общего образования в 2016/2017</w:t>
      </w:r>
      <w:r w:rsidRPr="00D72B64">
        <w:rPr>
          <w:rFonts w:ascii="Times New Roman" w:hAnsi="Times New Roman"/>
          <w:sz w:val="28"/>
          <w:szCs w:val="28"/>
          <w:lang w:eastAsia="ru-RU"/>
        </w:rPr>
        <w:t xml:space="preserve"> учебном году для прохожден</w:t>
      </w:r>
      <w:r w:rsidR="008F6B2A">
        <w:rPr>
          <w:rFonts w:ascii="Times New Roman" w:hAnsi="Times New Roman"/>
          <w:sz w:val="28"/>
          <w:szCs w:val="28"/>
          <w:lang w:eastAsia="ru-RU"/>
        </w:rPr>
        <w:t>ия ГИА были зарегистрированы</w:t>
      </w:r>
      <w:r w:rsidR="0091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B2A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6B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="008F6B2A">
        <w:rPr>
          <w:rFonts w:ascii="Times New Roman" w:hAnsi="Times New Roman"/>
          <w:sz w:val="28"/>
          <w:szCs w:val="28"/>
          <w:lang w:eastAsia="ru-RU"/>
        </w:rPr>
        <w:t>Тимирязевской</w:t>
      </w:r>
      <w:proofErr w:type="spellEnd"/>
      <w:r w:rsidR="008F6B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ООШ Азовского района.</w:t>
      </w:r>
      <w:r w:rsidRPr="00D72B64">
        <w:rPr>
          <w:rFonts w:ascii="Times New Roman" w:hAnsi="Times New Roman"/>
          <w:sz w:val="28"/>
          <w:szCs w:val="28"/>
          <w:lang w:eastAsia="ru-RU"/>
        </w:rPr>
        <w:t xml:space="preserve"> ОГЭ сдавали </w:t>
      </w:r>
      <w:r w:rsidR="008F6B2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– </w:t>
      </w:r>
      <w:r w:rsidR="008F6B2A">
        <w:rPr>
          <w:rFonts w:ascii="Times New Roman" w:hAnsi="Times New Roman"/>
          <w:sz w:val="28"/>
          <w:szCs w:val="28"/>
          <w:lang w:eastAsia="ru-RU"/>
        </w:rPr>
        <w:t>в основные и резервные сроки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00B3" w:rsidRDefault="001100B3" w:rsidP="001100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0D2" w:rsidRPr="001100B3" w:rsidRDefault="003450D2" w:rsidP="001100B3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69AF">
        <w:rPr>
          <w:color w:val="000000"/>
          <w:sz w:val="28"/>
          <w:szCs w:val="28"/>
          <w:lang w:eastAsia="ru-RU"/>
        </w:rPr>
        <w:t>Общие данные по итогам ОГЭ</w:t>
      </w:r>
    </w:p>
    <w:p w:rsidR="003450D2" w:rsidRDefault="003450D2" w:rsidP="0067566A">
      <w:pPr>
        <w:pStyle w:val="a5"/>
        <w:shd w:val="clear" w:color="auto" w:fill="auto"/>
        <w:spacing w:line="254" w:lineRule="exact"/>
        <w:jc w:val="center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Учащихся МБОУ </w:t>
      </w:r>
      <w:proofErr w:type="spellStart"/>
      <w:r w:rsidR="008F6B2A">
        <w:rPr>
          <w:color w:val="000000"/>
          <w:sz w:val="28"/>
          <w:szCs w:val="28"/>
          <w:lang w:eastAsia="ru-RU"/>
        </w:rPr>
        <w:t>Тимирязевской</w:t>
      </w:r>
      <w:proofErr w:type="spellEnd"/>
      <w:r w:rsidR="008F6B2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ООШ </w:t>
      </w:r>
      <w:r w:rsidR="008F6B2A">
        <w:rPr>
          <w:color w:val="000000"/>
          <w:sz w:val="28"/>
          <w:szCs w:val="28"/>
          <w:lang w:eastAsia="ru-RU"/>
        </w:rPr>
        <w:t xml:space="preserve"> </w:t>
      </w:r>
    </w:p>
    <w:p w:rsidR="003450D2" w:rsidRDefault="003450D2" w:rsidP="0067566A">
      <w:pPr>
        <w:pStyle w:val="a5"/>
        <w:shd w:val="clear" w:color="auto" w:fill="auto"/>
        <w:spacing w:line="254" w:lineRule="exact"/>
        <w:jc w:val="center"/>
        <w:outlineLvl w:val="0"/>
        <w:rPr>
          <w:color w:val="000000"/>
          <w:sz w:val="28"/>
          <w:szCs w:val="28"/>
          <w:lang w:eastAsia="ru-RU"/>
        </w:rPr>
      </w:pPr>
      <w:r w:rsidRPr="004569AF">
        <w:rPr>
          <w:color w:val="000000"/>
          <w:sz w:val="28"/>
          <w:szCs w:val="28"/>
          <w:lang w:eastAsia="ru-RU"/>
        </w:rPr>
        <w:t>Средние</w:t>
      </w:r>
      <w:r>
        <w:rPr>
          <w:color w:val="000000"/>
          <w:sz w:val="28"/>
          <w:szCs w:val="28"/>
          <w:lang w:eastAsia="ru-RU"/>
        </w:rPr>
        <w:t xml:space="preserve"> значения результатов ОГЭ в 2016-2017г.</w:t>
      </w:r>
    </w:p>
    <w:p w:rsidR="003450D2" w:rsidRDefault="003450D2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345" w:tblpY="124"/>
        <w:tblW w:w="16533" w:type="dxa"/>
        <w:tblLayout w:type="fixed"/>
        <w:tblLook w:val="0000" w:firstRow="0" w:lastRow="0" w:firstColumn="0" w:lastColumn="0" w:noHBand="0" w:noVBand="0"/>
      </w:tblPr>
      <w:tblGrid>
        <w:gridCol w:w="236"/>
        <w:gridCol w:w="4840"/>
        <w:gridCol w:w="628"/>
        <w:gridCol w:w="1440"/>
        <w:gridCol w:w="1584"/>
        <w:gridCol w:w="962"/>
        <w:gridCol w:w="1020"/>
        <w:gridCol w:w="1220"/>
        <w:gridCol w:w="1150"/>
        <w:gridCol w:w="1075"/>
        <w:gridCol w:w="1034"/>
        <w:gridCol w:w="1344"/>
      </w:tblGrid>
      <w:tr w:rsidR="003450D2" w:rsidRPr="00F26003" w:rsidTr="001100B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1100B3" w:rsidRDefault="003450D2" w:rsidP="001100B3">
            <w:pPr>
              <w:spacing w:after="0" w:line="240" w:lineRule="auto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1100B3">
              <w:rPr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lang w:eastAsia="ru-RU"/>
              </w:rPr>
            </w:pPr>
            <w:r w:rsidRPr="00F26003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lang w:eastAsia="ru-RU"/>
              </w:rPr>
            </w:pPr>
            <w:r w:rsidRPr="00F26003">
              <w:rPr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lang w:eastAsia="ru-RU"/>
              </w:rPr>
            </w:pPr>
            <w:r w:rsidRPr="00F26003">
              <w:rPr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50D2" w:rsidRPr="00F26003" w:rsidRDefault="003450D2" w:rsidP="001100B3">
            <w:pPr>
              <w:spacing w:after="0" w:line="240" w:lineRule="auto"/>
              <w:rPr>
                <w:color w:val="000000"/>
                <w:lang w:eastAsia="ru-RU"/>
              </w:rPr>
            </w:pPr>
            <w:r w:rsidRPr="00F26003">
              <w:rPr>
                <w:color w:val="000000"/>
                <w:lang w:eastAsia="ru-RU"/>
              </w:rPr>
              <w:t> </w:t>
            </w:r>
          </w:p>
        </w:tc>
      </w:tr>
      <w:tr w:rsidR="003450D2" w:rsidRPr="00F26003" w:rsidTr="001100B3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1100B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1100B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00B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00B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обучающихся 9-х классов</w:t>
            </w:r>
          </w:p>
        </w:tc>
        <w:tc>
          <w:tcPr>
            <w:tcW w:w="84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Аттестат с отличием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выпускников 8 вида</w:t>
            </w:r>
          </w:p>
        </w:tc>
      </w:tr>
      <w:tr w:rsidR="003450D2" w:rsidRPr="00F26003" w:rsidTr="001100B3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D2" w:rsidRPr="00F26003" w:rsidTr="001100B3">
        <w:trPr>
          <w:trHeight w:val="75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Допущены к ГИА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допущены к ГИА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успешно прошли ГИА в форме ГВЭ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успешно прошли ГИА в форме ОГЭ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прошли ГИА в форме ОГЭ, в том числе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D2" w:rsidRPr="00F26003" w:rsidTr="001100B3">
        <w:trPr>
          <w:trHeight w:val="10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Сдача ГИА в СЕНТЯБРЕ 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Оставлены</w:t>
            </w:r>
            <w:proofErr w:type="gramEnd"/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2-й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Получили справку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D2" w:rsidRPr="00F26003" w:rsidTr="001100B3">
        <w:trPr>
          <w:trHeight w:val="10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Высочинская</w:t>
            </w:r>
            <w:proofErr w:type="spellEnd"/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 Азовского района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8F6B2A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8F6B2A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8F6B2A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8F6B2A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8F6B2A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3450D2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600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D2" w:rsidRPr="00F26003" w:rsidRDefault="008F6B2A" w:rsidP="00110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85643E" w:rsidRDefault="0085643E" w:rsidP="00915EDC">
      <w:pPr>
        <w:pStyle w:val="a5"/>
        <w:shd w:val="clear" w:color="auto" w:fill="auto"/>
        <w:spacing w:line="254" w:lineRule="exact"/>
        <w:rPr>
          <w:color w:val="000000"/>
          <w:sz w:val="28"/>
          <w:szCs w:val="28"/>
          <w:lang w:eastAsia="ru-RU"/>
        </w:rPr>
      </w:pPr>
    </w:p>
    <w:p w:rsidR="0085643E" w:rsidRDefault="0085643E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/>
        </w:rPr>
      </w:pPr>
    </w:p>
    <w:p w:rsidR="0085643E" w:rsidRDefault="00915EDC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ИСТОРИЯ</w:t>
      </w:r>
    </w:p>
    <w:p w:rsidR="0085643E" w:rsidRDefault="0085643E" w:rsidP="004569AF">
      <w:pPr>
        <w:pStyle w:val="a5"/>
        <w:shd w:val="clear" w:color="auto" w:fill="auto"/>
        <w:spacing w:line="254" w:lineRule="exact"/>
        <w:jc w:val="center"/>
        <w:rPr>
          <w:color w:val="000000"/>
          <w:sz w:val="28"/>
          <w:szCs w:val="28"/>
          <w:lang w:eastAsia="ru-RU"/>
        </w:rPr>
      </w:pPr>
    </w:p>
    <w:tbl>
      <w:tblPr>
        <w:tblW w:w="16600" w:type="dxa"/>
        <w:tblInd w:w="93" w:type="dxa"/>
        <w:tblLook w:val="04A0" w:firstRow="1" w:lastRow="0" w:firstColumn="1" w:lastColumn="0" w:noHBand="0" w:noVBand="1"/>
      </w:tblPr>
      <w:tblGrid>
        <w:gridCol w:w="2108"/>
        <w:gridCol w:w="1569"/>
        <w:gridCol w:w="1210"/>
        <w:gridCol w:w="943"/>
        <w:gridCol w:w="1020"/>
        <w:gridCol w:w="866"/>
        <w:gridCol w:w="866"/>
        <w:gridCol w:w="866"/>
        <w:gridCol w:w="1606"/>
        <w:gridCol w:w="1166"/>
        <w:gridCol w:w="1020"/>
        <w:gridCol w:w="860"/>
        <w:gridCol w:w="860"/>
        <w:gridCol w:w="866"/>
        <w:gridCol w:w="819"/>
        <w:gridCol w:w="841"/>
      </w:tblGrid>
      <w:tr w:rsidR="00915EDC" w:rsidRPr="00915EDC" w:rsidTr="00915EDC">
        <w:trPr>
          <w:trHeight w:val="1650"/>
        </w:trPr>
        <w:tc>
          <w:tcPr>
            <w:tcW w:w="210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 ОГЭ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ОГЭ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ОГЭ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 ОГЭ ПЕРВИЧНО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 средний тестовый балл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ГВЭ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ГВЭ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не сдавших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915EDC" w:rsidRPr="00915EDC" w:rsidTr="00915EDC">
        <w:trPr>
          <w:trHeight w:val="315"/>
        </w:trPr>
        <w:tc>
          <w:tcPr>
            <w:tcW w:w="210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DC" w:rsidRPr="00915EDC" w:rsidTr="00915EDC">
        <w:trPr>
          <w:trHeight w:val="945"/>
        </w:trPr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50,0</w:t>
            </w:r>
          </w:p>
        </w:tc>
      </w:tr>
      <w:tr w:rsidR="00915EDC" w:rsidRPr="00915EDC" w:rsidTr="00915EDC">
        <w:trPr>
          <w:trHeight w:val="30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15EDC" w:rsidRDefault="00915EDC" w:rsidP="00915ED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5EDC" w:rsidRPr="00915EDC" w:rsidRDefault="00915EDC" w:rsidP="00571273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</w:t>
      </w:r>
      <w:r w:rsidRPr="00915EDC">
        <w:rPr>
          <w:rFonts w:ascii="Times New Roman" w:hAnsi="Times New Roman"/>
          <w:b/>
          <w:sz w:val="40"/>
          <w:szCs w:val="40"/>
        </w:rPr>
        <w:t>Русский язык</w:t>
      </w:r>
    </w:p>
    <w:tbl>
      <w:tblPr>
        <w:tblW w:w="16600" w:type="dxa"/>
        <w:tblInd w:w="93" w:type="dxa"/>
        <w:tblLook w:val="04A0" w:firstRow="1" w:lastRow="0" w:firstColumn="1" w:lastColumn="0" w:noHBand="0" w:noVBand="1"/>
      </w:tblPr>
      <w:tblGrid>
        <w:gridCol w:w="1837"/>
        <w:gridCol w:w="1569"/>
        <w:gridCol w:w="1210"/>
        <w:gridCol w:w="943"/>
        <w:gridCol w:w="1020"/>
        <w:gridCol w:w="753"/>
        <w:gridCol w:w="753"/>
        <w:gridCol w:w="753"/>
        <w:gridCol w:w="1606"/>
        <w:gridCol w:w="1163"/>
        <w:gridCol w:w="1020"/>
        <w:gridCol w:w="731"/>
        <w:gridCol w:w="731"/>
        <w:gridCol w:w="867"/>
        <w:gridCol w:w="822"/>
        <w:gridCol w:w="822"/>
      </w:tblGrid>
      <w:tr w:rsidR="00915EDC" w:rsidRPr="00915EDC" w:rsidTr="00915EDC">
        <w:trPr>
          <w:trHeight w:val="1650"/>
        </w:trPr>
        <w:tc>
          <w:tcPr>
            <w:tcW w:w="21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 ОГЭ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ОГЭ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ОГЭ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 ОГЭ ПЕРВИЧНО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 средний тестовый балл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ГВЭ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ГВЭ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сдавших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не сдавших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915EDC" w:rsidRPr="00915EDC" w:rsidTr="00915EDC">
        <w:trPr>
          <w:trHeight w:val="315"/>
        </w:trPr>
        <w:tc>
          <w:tcPr>
            <w:tcW w:w="211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DC" w:rsidRPr="00915EDC" w:rsidTr="00915EDC">
        <w:trPr>
          <w:trHeight w:val="945"/>
        </w:trPr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</w:tbl>
    <w:p w:rsidR="00915EDC" w:rsidRDefault="00915EDC" w:rsidP="00571273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5EDC" w:rsidRDefault="00915EDC" w:rsidP="00915ED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5EDC" w:rsidRPr="00915EDC" w:rsidRDefault="00915EDC" w:rsidP="00571273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</w:t>
      </w:r>
      <w:r w:rsidRPr="00915EDC">
        <w:rPr>
          <w:rFonts w:ascii="Times New Roman" w:hAnsi="Times New Roman"/>
          <w:b/>
          <w:sz w:val="36"/>
          <w:szCs w:val="36"/>
        </w:rPr>
        <w:t>МАТЕМАТИКА</w:t>
      </w:r>
    </w:p>
    <w:p w:rsidR="00915EDC" w:rsidRDefault="00915EDC" w:rsidP="00571273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1757"/>
        <w:gridCol w:w="1569"/>
        <w:gridCol w:w="1210"/>
        <w:gridCol w:w="943"/>
        <w:gridCol w:w="1020"/>
        <w:gridCol w:w="719"/>
        <w:gridCol w:w="719"/>
        <w:gridCol w:w="719"/>
        <w:gridCol w:w="1606"/>
        <w:gridCol w:w="1162"/>
        <w:gridCol w:w="1020"/>
        <w:gridCol w:w="692"/>
        <w:gridCol w:w="692"/>
      </w:tblGrid>
      <w:tr w:rsidR="00915EDC" w:rsidRPr="00915EDC" w:rsidTr="00915EDC">
        <w:trPr>
          <w:trHeight w:val="1650"/>
        </w:trPr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 ОГЭ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ОГЭ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ОГЭ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 ОГЭ ПЕРВИЧНО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 средний тестовый балл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ГВЭ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ГВЭ</w:t>
            </w:r>
          </w:p>
        </w:tc>
      </w:tr>
      <w:tr w:rsidR="00915EDC" w:rsidRPr="00915EDC" w:rsidTr="00915EDC">
        <w:trPr>
          <w:trHeight w:val="315"/>
        </w:trPr>
        <w:tc>
          <w:tcPr>
            <w:tcW w:w="203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DC" w:rsidRPr="00915EDC" w:rsidTr="00915EDC">
        <w:trPr>
          <w:trHeight w:val="945"/>
        </w:trPr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5EDC" w:rsidRDefault="00915EDC" w:rsidP="00571273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5EDC" w:rsidRPr="00915EDC" w:rsidRDefault="00915EDC" w:rsidP="00915EDC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</w:t>
      </w:r>
      <w:r w:rsidRPr="00915EDC">
        <w:rPr>
          <w:rFonts w:ascii="Times New Roman" w:hAnsi="Times New Roman"/>
          <w:b/>
          <w:sz w:val="40"/>
          <w:szCs w:val="40"/>
        </w:rPr>
        <w:t xml:space="preserve"> ФИЗИКА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086"/>
        <w:gridCol w:w="1757"/>
        <w:gridCol w:w="1569"/>
        <w:gridCol w:w="1210"/>
        <w:gridCol w:w="943"/>
        <w:gridCol w:w="1020"/>
        <w:gridCol w:w="719"/>
        <w:gridCol w:w="719"/>
        <w:gridCol w:w="719"/>
        <w:gridCol w:w="1606"/>
        <w:gridCol w:w="1162"/>
        <w:gridCol w:w="1020"/>
        <w:gridCol w:w="692"/>
        <w:gridCol w:w="692"/>
        <w:gridCol w:w="794"/>
      </w:tblGrid>
      <w:tr w:rsidR="00915EDC" w:rsidRPr="00915EDC" w:rsidTr="00915EDC">
        <w:trPr>
          <w:trHeight w:val="1650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 ОГЭ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ОГЭ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ОГЭ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 ОГЭ ПЕРВИЧНО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 средний тестовый балл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 ГВЭ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 ГВЭ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сдавших</w:t>
            </w:r>
          </w:p>
        </w:tc>
      </w:tr>
      <w:tr w:rsidR="00915EDC" w:rsidRPr="00915EDC" w:rsidTr="00915EDC">
        <w:trPr>
          <w:trHeight w:val="315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DC" w:rsidRPr="00915EDC" w:rsidTr="00915EDC">
        <w:trPr>
          <w:trHeight w:val="945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15ED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15EDC" w:rsidRPr="00915EDC" w:rsidRDefault="00915EDC" w:rsidP="00915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DC" w:rsidRPr="00915EDC" w:rsidRDefault="00915EDC" w:rsidP="00915E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5ED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</w:tr>
    </w:tbl>
    <w:p w:rsidR="00915EDC" w:rsidRPr="00571273" w:rsidRDefault="00915EDC" w:rsidP="00571273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915EDC" w:rsidRPr="00571273" w:rsidSect="001100B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4"/>
    <w:rsid w:val="00015DF4"/>
    <w:rsid w:val="00050DFD"/>
    <w:rsid w:val="00083238"/>
    <w:rsid w:val="00084E1B"/>
    <w:rsid w:val="000A09EF"/>
    <w:rsid w:val="000A2171"/>
    <w:rsid w:val="001100B3"/>
    <w:rsid w:val="00154D84"/>
    <w:rsid w:val="00160A55"/>
    <w:rsid w:val="001701A4"/>
    <w:rsid w:val="001B1894"/>
    <w:rsid w:val="001C0F44"/>
    <w:rsid w:val="001D5056"/>
    <w:rsid w:val="001D77D6"/>
    <w:rsid w:val="002005FC"/>
    <w:rsid w:val="00240945"/>
    <w:rsid w:val="00276A3A"/>
    <w:rsid w:val="00287363"/>
    <w:rsid w:val="00292CEF"/>
    <w:rsid w:val="00294E0E"/>
    <w:rsid w:val="002A5AB7"/>
    <w:rsid w:val="002B0577"/>
    <w:rsid w:val="002C5ED6"/>
    <w:rsid w:val="002F613E"/>
    <w:rsid w:val="00326EBE"/>
    <w:rsid w:val="003450D2"/>
    <w:rsid w:val="003E669D"/>
    <w:rsid w:val="004044CC"/>
    <w:rsid w:val="004569AF"/>
    <w:rsid w:val="00481434"/>
    <w:rsid w:val="00496653"/>
    <w:rsid w:val="004D23E5"/>
    <w:rsid w:val="004E3483"/>
    <w:rsid w:val="00501917"/>
    <w:rsid w:val="00525CFC"/>
    <w:rsid w:val="005427E2"/>
    <w:rsid w:val="005556F0"/>
    <w:rsid w:val="00571273"/>
    <w:rsid w:val="005731FE"/>
    <w:rsid w:val="005A1675"/>
    <w:rsid w:val="005B54F0"/>
    <w:rsid w:val="005D5A18"/>
    <w:rsid w:val="00610F2C"/>
    <w:rsid w:val="00636203"/>
    <w:rsid w:val="0065556F"/>
    <w:rsid w:val="00657234"/>
    <w:rsid w:val="0067566A"/>
    <w:rsid w:val="00683EE5"/>
    <w:rsid w:val="00685779"/>
    <w:rsid w:val="006A5524"/>
    <w:rsid w:val="006B1A93"/>
    <w:rsid w:val="006D4FE4"/>
    <w:rsid w:val="0076232B"/>
    <w:rsid w:val="00763C0B"/>
    <w:rsid w:val="00785B9D"/>
    <w:rsid w:val="00797916"/>
    <w:rsid w:val="007B4802"/>
    <w:rsid w:val="007E4908"/>
    <w:rsid w:val="007E4E8D"/>
    <w:rsid w:val="007F6806"/>
    <w:rsid w:val="008324DC"/>
    <w:rsid w:val="00843C1C"/>
    <w:rsid w:val="0085643E"/>
    <w:rsid w:val="008570F5"/>
    <w:rsid w:val="008A57D6"/>
    <w:rsid w:val="008D486B"/>
    <w:rsid w:val="008E0C49"/>
    <w:rsid w:val="008F6B2A"/>
    <w:rsid w:val="009109A1"/>
    <w:rsid w:val="00915EDC"/>
    <w:rsid w:val="00922670"/>
    <w:rsid w:val="00925601"/>
    <w:rsid w:val="009318E3"/>
    <w:rsid w:val="009341F3"/>
    <w:rsid w:val="009531D5"/>
    <w:rsid w:val="009625CF"/>
    <w:rsid w:val="00977634"/>
    <w:rsid w:val="009E1872"/>
    <w:rsid w:val="00A005E6"/>
    <w:rsid w:val="00A07C28"/>
    <w:rsid w:val="00A149F3"/>
    <w:rsid w:val="00A31921"/>
    <w:rsid w:val="00A414D0"/>
    <w:rsid w:val="00A45746"/>
    <w:rsid w:val="00A73827"/>
    <w:rsid w:val="00A86A27"/>
    <w:rsid w:val="00AA1CA8"/>
    <w:rsid w:val="00AB06EB"/>
    <w:rsid w:val="00AC0DE1"/>
    <w:rsid w:val="00AE2552"/>
    <w:rsid w:val="00B01B42"/>
    <w:rsid w:val="00B46126"/>
    <w:rsid w:val="00B63730"/>
    <w:rsid w:val="00B84B2F"/>
    <w:rsid w:val="00BC3B9C"/>
    <w:rsid w:val="00BC718B"/>
    <w:rsid w:val="00C018CA"/>
    <w:rsid w:val="00C244F7"/>
    <w:rsid w:val="00C33470"/>
    <w:rsid w:val="00C42638"/>
    <w:rsid w:val="00C65277"/>
    <w:rsid w:val="00C80CD6"/>
    <w:rsid w:val="00CC37A8"/>
    <w:rsid w:val="00CC667D"/>
    <w:rsid w:val="00CD0FD9"/>
    <w:rsid w:val="00D22CE9"/>
    <w:rsid w:val="00D36AF5"/>
    <w:rsid w:val="00D4064A"/>
    <w:rsid w:val="00D56071"/>
    <w:rsid w:val="00D72B64"/>
    <w:rsid w:val="00D90D73"/>
    <w:rsid w:val="00DB1B7A"/>
    <w:rsid w:val="00DB6C9A"/>
    <w:rsid w:val="00DC5F14"/>
    <w:rsid w:val="00DF0E71"/>
    <w:rsid w:val="00E1655E"/>
    <w:rsid w:val="00E65B40"/>
    <w:rsid w:val="00EA6816"/>
    <w:rsid w:val="00EC061C"/>
    <w:rsid w:val="00EC16A8"/>
    <w:rsid w:val="00EF2AFA"/>
    <w:rsid w:val="00EF3DD7"/>
    <w:rsid w:val="00F176E9"/>
    <w:rsid w:val="00F25D9C"/>
    <w:rsid w:val="00F26003"/>
    <w:rsid w:val="00F30C72"/>
    <w:rsid w:val="00F70D32"/>
    <w:rsid w:val="00F747D8"/>
    <w:rsid w:val="00F80C43"/>
    <w:rsid w:val="00F9686F"/>
    <w:rsid w:val="00FA743E"/>
    <w:rsid w:val="00FB2087"/>
    <w:rsid w:val="00FB79F7"/>
    <w:rsid w:val="00FD4218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72B6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B64"/>
    <w:pPr>
      <w:widowControl w:val="0"/>
      <w:shd w:val="clear" w:color="auto" w:fill="FFFFFF"/>
      <w:spacing w:after="660" w:line="254" w:lineRule="exact"/>
      <w:ind w:hanging="1860"/>
    </w:pPr>
    <w:rPr>
      <w:rFonts w:ascii="Times New Roman" w:eastAsia="Times New Roman" w:hAnsi="Times New Roman"/>
    </w:rPr>
  </w:style>
  <w:style w:type="paragraph" w:styleId="a3">
    <w:name w:val="No Spacing"/>
    <w:uiPriority w:val="99"/>
    <w:qFormat/>
    <w:rsid w:val="00D72B64"/>
    <w:rPr>
      <w:lang w:eastAsia="en-US"/>
    </w:rPr>
  </w:style>
  <w:style w:type="character" w:customStyle="1" w:styleId="a4">
    <w:name w:val="Колонтитул_"/>
    <w:basedOn w:val="a0"/>
    <w:link w:val="a5"/>
    <w:uiPriority w:val="99"/>
    <w:locked/>
    <w:rsid w:val="004569A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569A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92560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6">
    <w:name w:val="Подпись к картинке_"/>
    <w:basedOn w:val="a0"/>
    <w:link w:val="a7"/>
    <w:uiPriority w:val="99"/>
    <w:locked/>
    <w:rsid w:val="00C018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C018CA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9">
    <w:name w:val="Основной текст (2) + 9"/>
    <w:aliases w:val="5 pt"/>
    <w:basedOn w:val="2"/>
    <w:uiPriority w:val="99"/>
    <w:rsid w:val="00D22CE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F176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176E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1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01A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01B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72B6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B64"/>
    <w:pPr>
      <w:widowControl w:val="0"/>
      <w:shd w:val="clear" w:color="auto" w:fill="FFFFFF"/>
      <w:spacing w:after="660" w:line="254" w:lineRule="exact"/>
      <w:ind w:hanging="1860"/>
    </w:pPr>
    <w:rPr>
      <w:rFonts w:ascii="Times New Roman" w:eastAsia="Times New Roman" w:hAnsi="Times New Roman"/>
    </w:rPr>
  </w:style>
  <w:style w:type="paragraph" w:styleId="a3">
    <w:name w:val="No Spacing"/>
    <w:uiPriority w:val="99"/>
    <w:qFormat/>
    <w:rsid w:val="00D72B64"/>
    <w:rPr>
      <w:lang w:eastAsia="en-US"/>
    </w:rPr>
  </w:style>
  <w:style w:type="character" w:customStyle="1" w:styleId="a4">
    <w:name w:val="Колонтитул_"/>
    <w:basedOn w:val="a0"/>
    <w:link w:val="a5"/>
    <w:uiPriority w:val="99"/>
    <w:locked/>
    <w:rsid w:val="004569A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569A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92560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6">
    <w:name w:val="Подпись к картинке_"/>
    <w:basedOn w:val="a0"/>
    <w:link w:val="a7"/>
    <w:uiPriority w:val="99"/>
    <w:locked/>
    <w:rsid w:val="00C018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C018CA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9">
    <w:name w:val="Основной текст (2) + 9"/>
    <w:aliases w:val="5 pt"/>
    <w:basedOn w:val="2"/>
    <w:uiPriority w:val="99"/>
    <w:rsid w:val="00D22CE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8">
    <w:name w:val="Подпись к таблице_"/>
    <w:basedOn w:val="a0"/>
    <w:link w:val="a9"/>
    <w:uiPriority w:val="99"/>
    <w:locked/>
    <w:rsid w:val="00F176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176E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1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701A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01B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Валентина</cp:lastModifiedBy>
  <cp:revision>4</cp:revision>
  <dcterms:created xsi:type="dcterms:W3CDTF">2017-09-20T19:28:00Z</dcterms:created>
  <dcterms:modified xsi:type="dcterms:W3CDTF">2017-09-20T19:39:00Z</dcterms:modified>
</cp:coreProperties>
</file>