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F3" w:rsidRPr="009F77F3" w:rsidRDefault="009F77F3" w:rsidP="009F77F3">
      <w:pPr>
        <w:spacing w:after="204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</w:p>
    <w:tbl>
      <w:tblPr>
        <w:tblpPr w:leftFromText="180" w:rightFromText="180" w:vertAnchor="text" w:horzAnchor="page" w:tblpX="1" w:tblpY="1057"/>
        <w:tblW w:w="20078" w:type="dxa"/>
        <w:tblCellSpacing w:w="15" w:type="dxa"/>
        <w:tblBorders>
          <w:top w:val="single" w:sz="8" w:space="0" w:color="D1D1D1"/>
          <w:left w:val="single" w:sz="8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1"/>
        <w:gridCol w:w="6378"/>
        <w:gridCol w:w="10299"/>
      </w:tblGrid>
      <w:tr w:rsidR="009F77F3" w:rsidRPr="009F77F3" w:rsidTr="009F77F3">
        <w:trPr>
          <w:tblCellSpacing w:w="15" w:type="dxa"/>
        </w:trPr>
        <w:tc>
          <w:tcPr>
            <w:tcW w:w="3356" w:type="dxa"/>
            <w:tcBorders>
              <w:top w:val="single" w:sz="2" w:space="0" w:color="D1D1D1"/>
              <w:left w:val="single" w:sz="2" w:space="0" w:color="D1D1D1"/>
              <w:bottom w:val="single" w:sz="8" w:space="0" w:color="D1D1D1"/>
              <w:right w:val="single" w:sz="8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7F3" w:rsidRPr="009F77F3" w:rsidRDefault="009F77F3" w:rsidP="009F77F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F3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16632" w:type="dxa"/>
            <w:gridSpan w:val="2"/>
            <w:tcBorders>
              <w:top w:val="single" w:sz="2" w:space="0" w:color="D1D1D1"/>
              <w:left w:val="single" w:sz="2" w:space="0" w:color="D1D1D1"/>
              <w:bottom w:val="single" w:sz="8" w:space="0" w:color="D1D1D1"/>
              <w:right w:val="single" w:sz="8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7F3" w:rsidRPr="009F77F3" w:rsidRDefault="009F77F3" w:rsidP="009F77F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9F77F3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9F77F3" w:rsidRPr="009F77F3" w:rsidTr="009F77F3">
        <w:trPr>
          <w:tblCellSpacing w:w="15" w:type="dxa"/>
        </w:trPr>
        <w:tc>
          <w:tcPr>
            <w:tcW w:w="3356" w:type="dxa"/>
            <w:tcBorders>
              <w:top w:val="single" w:sz="2" w:space="0" w:color="D1D1D1"/>
              <w:left w:val="single" w:sz="2" w:space="0" w:color="D1D1D1"/>
              <w:bottom w:val="single" w:sz="8" w:space="0" w:color="D1D1D1"/>
              <w:right w:val="single" w:sz="8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7F3" w:rsidRPr="009F77F3" w:rsidRDefault="009F77F3" w:rsidP="009F77F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2021 года</w:t>
            </w:r>
          </w:p>
        </w:tc>
        <w:tc>
          <w:tcPr>
            <w:tcW w:w="6348" w:type="dxa"/>
            <w:tcBorders>
              <w:top w:val="single" w:sz="2" w:space="0" w:color="D1D1D1"/>
              <w:left w:val="single" w:sz="2" w:space="0" w:color="D1D1D1"/>
              <w:bottom w:val="single" w:sz="8" w:space="0" w:color="D1D1D1"/>
              <w:right w:val="single" w:sz="8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7F3" w:rsidRPr="009F77F3" w:rsidRDefault="009F77F3" w:rsidP="009F77F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 2022 года</w:t>
            </w:r>
          </w:p>
        </w:tc>
        <w:tc>
          <w:tcPr>
            <w:tcW w:w="10254" w:type="dxa"/>
            <w:tcBorders>
              <w:top w:val="single" w:sz="2" w:space="0" w:color="D1D1D1"/>
              <w:left w:val="single" w:sz="2" w:space="0" w:color="D1D1D1"/>
              <w:bottom w:val="single" w:sz="8" w:space="0" w:color="D1D1D1"/>
              <w:right w:val="single" w:sz="8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7F3" w:rsidRPr="009F77F3" w:rsidRDefault="009F77F3" w:rsidP="009F77F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2022 года</w:t>
            </w:r>
          </w:p>
        </w:tc>
      </w:tr>
    </w:tbl>
    <w:p w:rsidR="009F77F3" w:rsidRDefault="009F77F3" w:rsidP="009F77F3">
      <w:pPr>
        <w:spacing w:after="292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10"/>
          <w:sz w:val="36"/>
          <w:szCs w:val="36"/>
          <w:lang w:eastAsia="ru-RU"/>
        </w:rPr>
      </w:pPr>
      <w:r w:rsidRPr="009F77F3">
        <w:rPr>
          <w:rFonts w:ascii="Times New Roman" w:eastAsia="Times New Roman" w:hAnsi="Times New Roman" w:cs="Times New Roman"/>
          <w:b/>
          <w:bCs/>
          <w:color w:val="2B2B2B"/>
          <w:spacing w:val="10"/>
          <w:sz w:val="36"/>
          <w:szCs w:val="36"/>
          <w:lang w:eastAsia="ru-RU"/>
        </w:rPr>
        <w:t>Расписание проведения итогового сочинения (изложения).</w:t>
      </w:r>
    </w:p>
    <w:p w:rsidR="009F77F3" w:rsidRDefault="009F77F3" w:rsidP="009F77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Основной срок написания итогового сочинения (изложения) в 2021-2022 учебном году </w:t>
      </w:r>
    </w:p>
    <w:p w:rsidR="009F77F3" w:rsidRDefault="009F77F3" w:rsidP="009F77F3">
      <w:pPr>
        <w:pStyle w:val="Default"/>
        <w:rPr>
          <w:sz w:val="28"/>
          <w:szCs w:val="28"/>
        </w:rPr>
      </w:pPr>
    </w:p>
    <w:p w:rsidR="009F77F3" w:rsidRDefault="009F77F3" w:rsidP="009F77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Основной срок написания итогового сочинения (изложения) в 2021-2022 учебном году </w:t>
      </w:r>
      <w:r w:rsidRPr="009F77F3">
        <w:rPr>
          <w:b/>
          <w:sz w:val="28"/>
          <w:szCs w:val="28"/>
        </w:rPr>
        <w:t>– 1 декабря 2021 года</w:t>
      </w:r>
      <w:r>
        <w:rPr>
          <w:sz w:val="28"/>
          <w:szCs w:val="28"/>
        </w:rPr>
        <w:t xml:space="preserve">. </w:t>
      </w:r>
    </w:p>
    <w:p w:rsidR="009F77F3" w:rsidRPr="009F77F3" w:rsidRDefault="009F77F3" w:rsidP="009F77F3">
      <w:pPr>
        <w:pStyle w:val="a5"/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Обучающиеся, получившие неудовлетворительный результат («незачет»),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</w:t>
      </w:r>
      <w:r w:rsidRPr="009F77F3">
        <w:rPr>
          <w:b/>
          <w:sz w:val="28"/>
          <w:szCs w:val="28"/>
        </w:rPr>
        <w:t>2 февраля и 4 мая 2022 года.</w:t>
      </w:r>
      <w:r>
        <w:rPr>
          <w:sz w:val="28"/>
          <w:szCs w:val="28"/>
        </w:rPr>
        <w:t xml:space="preserve"> </w:t>
      </w:r>
    </w:p>
    <w:p w:rsidR="009F77F3" w:rsidRPr="009F77F3" w:rsidRDefault="009F77F3" w:rsidP="009F77F3">
      <w:pPr>
        <w:spacing w:before="584" w:after="292" w:line="240" w:lineRule="auto"/>
        <w:jc w:val="left"/>
        <w:outlineLvl w:val="1"/>
        <w:rPr>
          <w:rFonts w:ascii="Times New Roman" w:eastAsia="Times New Roman" w:hAnsi="Times New Roman" w:cs="Times New Roman"/>
          <w:color w:val="2B2B2B"/>
          <w:sz w:val="40"/>
          <w:szCs w:val="40"/>
          <w:lang w:eastAsia="ru-RU"/>
        </w:rPr>
      </w:pPr>
      <w:r w:rsidRPr="001255AB">
        <w:rPr>
          <w:rFonts w:ascii="Times New Roman" w:eastAsia="Times New Roman" w:hAnsi="Times New Roman" w:cs="Times New Roman"/>
          <w:b/>
          <w:bCs/>
          <w:color w:val="2B2B2B"/>
          <w:spacing w:val="10"/>
          <w:sz w:val="40"/>
          <w:szCs w:val="40"/>
          <w:lang w:eastAsia="ru-RU"/>
        </w:rPr>
        <w:t>Тематические направления итогового сочинения</w:t>
      </w:r>
      <w:r w:rsidR="001255AB">
        <w:rPr>
          <w:rFonts w:ascii="Times New Roman" w:eastAsia="Times New Roman" w:hAnsi="Times New Roman" w:cs="Times New Roman"/>
          <w:b/>
          <w:bCs/>
          <w:color w:val="2B2B2B"/>
          <w:spacing w:val="10"/>
          <w:sz w:val="40"/>
          <w:szCs w:val="40"/>
          <w:lang w:eastAsia="ru-RU"/>
        </w:rPr>
        <w:t>.</w:t>
      </w:r>
    </w:p>
    <w:p w:rsidR="009F77F3" w:rsidRPr="009F77F3" w:rsidRDefault="009F77F3" w:rsidP="009F77F3">
      <w:pPr>
        <w:spacing w:after="420" w:line="360" w:lineRule="atLeast"/>
        <w:jc w:val="left"/>
        <w:rPr>
          <w:rFonts w:ascii="Calibri" w:eastAsia="Times New Roman" w:hAnsi="Calibri" w:cs="Times New Roman"/>
          <w:color w:val="1A1A1A"/>
          <w:sz w:val="30"/>
          <w:szCs w:val="30"/>
          <w:lang w:eastAsia="ru-RU"/>
        </w:rPr>
      </w:pPr>
      <w:r w:rsidRPr="009F77F3">
        <w:rPr>
          <w:rFonts w:ascii="Calibri" w:eastAsia="Times New Roman" w:hAnsi="Calibri" w:cs="Times New Roman"/>
          <w:b/>
          <w:bCs/>
          <w:color w:val="1A1A1A"/>
          <w:spacing w:val="10"/>
          <w:sz w:val="30"/>
          <w:lang w:eastAsia="ru-RU"/>
        </w:rPr>
        <w:t>В 2021/22 учебном году утверждены следующие тематические направления итогового сочинения:</w:t>
      </w:r>
    </w:p>
    <w:p w:rsidR="009F77F3" w:rsidRPr="009F77F3" w:rsidRDefault="009F77F3" w:rsidP="009F77F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left"/>
        <w:rPr>
          <w:rFonts w:ascii="Calibri" w:eastAsia="Times New Roman" w:hAnsi="Calibri" w:cs="Times New Roman"/>
          <w:color w:val="1A1A1A"/>
          <w:sz w:val="32"/>
          <w:szCs w:val="32"/>
          <w:lang w:eastAsia="ru-RU"/>
        </w:rPr>
      </w:pPr>
      <w:r w:rsidRPr="009F77F3">
        <w:rPr>
          <w:rFonts w:ascii="Calibri" w:eastAsia="Times New Roman" w:hAnsi="Calibri" w:cs="Times New Roman"/>
          <w:color w:val="1A1A1A"/>
          <w:sz w:val="32"/>
          <w:szCs w:val="32"/>
          <w:lang w:eastAsia="ru-RU"/>
        </w:rPr>
        <w:t>Человек путешествующий: дорога в жизни человека</w:t>
      </w:r>
    </w:p>
    <w:p w:rsidR="009F77F3" w:rsidRPr="009F77F3" w:rsidRDefault="009F77F3" w:rsidP="009F77F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left"/>
        <w:rPr>
          <w:rFonts w:ascii="Calibri" w:eastAsia="Times New Roman" w:hAnsi="Calibri" w:cs="Times New Roman"/>
          <w:color w:val="1A1A1A"/>
          <w:sz w:val="32"/>
          <w:szCs w:val="32"/>
          <w:lang w:eastAsia="ru-RU"/>
        </w:rPr>
      </w:pPr>
      <w:r w:rsidRPr="009F77F3">
        <w:rPr>
          <w:rFonts w:ascii="Calibri" w:eastAsia="Times New Roman" w:hAnsi="Calibri" w:cs="Times New Roman"/>
          <w:color w:val="1A1A1A"/>
          <w:sz w:val="32"/>
          <w:szCs w:val="32"/>
          <w:lang w:eastAsia="ru-RU"/>
        </w:rPr>
        <w:t>Цивилизация и технологии — спасение, вызов или трагедия?</w:t>
      </w:r>
    </w:p>
    <w:p w:rsidR="009F77F3" w:rsidRPr="009F77F3" w:rsidRDefault="009F77F3" w:rsidP="009F77F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left"/>
        <w:rPr>
          <w:rFonts w:ascii="Calibri" w:eastAsia="Times New Roman" w:hAnsi="Calibri" w:cs="Times New Roman"/>
          <w:color w:val="1A1A1A"/>
          <w:sz w:val="32"/>
          <w:szCs w:val="32"/>
          <w:lang w:eastAsia="ru-RU"/>
        </w:rPr>
      </w:pPr>
      <w:r w:rsidRPr="009F77F3">
        <w:rPr>
          <w:rFonts w:ascii="Calibri" w:eastAsia="Times New Roman" w:hAnsi="Calibri" w:cs="Times New Roman"/>
          <w:color w:val="1A1A1A"/>
          <w:sz w:val="32"/>
          <w:szCs w:val="32"/>
          <w:lang w:eastAsia="ru-RU"/>
        </w:rPr>
        <w:t>Преступление и наказание — вечная тема</w:t>
      </w:r>
    </w:p>
    <w:p w:rsidR="009F77F3" w:rsidRPr="009F77F3" w:rsidRDefault="009F77F3" w:rsidP="009F77F3">
      <w:pPr>
        <w:numPr>
          <w:ilvl w:val="0"/>
          <w:numId w:val="1"/>
        </w:numPr>
        <w:tabs>
          <w:tab w:val="left" w:pos="5812"/>
        </w:tabs>
        <w:spacing w:before="100" w:beforeAutospacing="1" w:after="100" w:afterAutospacing="1" w:line="240" w:lineRule="auto"/>
        <w:ind w:left="360" w:right="-1134"/>
        <w:jc w:val="left"/>
        <w:rPr>
          <w:rFonts w:ascii="Calibri" w:eastAsia="Times New Roman" w:hAnsi="Calibri" w:cs="Times New Roman"/>
          <w:color w:val="1A1A1A"/>
          <w:sz w:val="32"/>
          <w:szCs w:val="32"/>
          <w:lang w:eastAsia="ru-RU"/>
        </w:rPr>
      </w:pPr>
      <w:r w:rsidRPr="009F77F3">
        <w:rPr>
          <w:rFonts w:ascii="Calibri" w:eastAsia="Times New Roman" w:hAnsi="Calibri" w:cs="Times New Roman"/>
          <w:color w:val="1A1A1A"/>
          <w:sz w:val="32"/>
          <w:szCs w:val="32"/>
          <w:lang w:eastAsia="ru-RU"/>
        </w:rPr>
        <w:t>Книга (музыка, спектакль, фильм) — про меня</w:t>
      </w:r>
    </w:p>
    <w:p w:rsidR="009F77F3" w:rsidRPr="009F77F3" w:rsidRDefault="009F77F3" w:rsidP="009F77F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left"/>
        <w:rPr>
          <w:rFonts w:ascii="Calibri" w:eastAsia="Times New Roman" w:hAnsi="Calibri" w:cs="Times New Roman"/>
          <w:color w:val="1A1A1A"/>
          <w:sz w:val="32"/>
          <w:szCs w:val="32"/>
          <w:lang w:eastAsia="ru-RU"/>
        </w:rPr>
      </w:pPr>
      <w:r w:rsidRPr="009F77F3">
        <w:rPr>
          <w:rFonts w:ascii="Calibri" w:eastAsia="Times New Roman" w:hAnsi="Calibri" w:cs="Times New Roman"/>
          <w:color w:val="1A1A1A"/>
          <w:sz w:val="32"/>
          <w:szCs w:val="32"/>
          <w:lang w:eastAsia="ru-RU"/>
        </w:rPr>
        <w:t>Кому на Руси жить хорошо? — вопрос гражданина</w:t>
      </w:r>
    </w:p>
    <w:p w:rsidR="008820B8" w:rsidRDefault="008820B8" w:rsidP="008820B8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Советом по вопросам проведения итогового сочинения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утверждены и объявлены пять открытых направлений тем итогового сочинения на 2021-2022 учебный год. </w:t>
      </w:r>
    </w:p>
    <w:p w:rsidR="008820B8" w:rsidRDefault="008820B8" w:rsidP="008820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Направления для тем итогового сочинения в 2021-2022 учебном году следующие: </w:t>
      </w:r>
    </w:p>
    <w:p w:rsidR="008820B8" w:rsidRDefault="008820B8" w:rsidP="008820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Человек путешествующий: дорога в жизни человека (дорога реальная, воображаемая, книжная). </w:t>
      </w:r>
    </w:p>
    <w:p w:rsidR="008820B8" w:rsidRDefault="008820B8" w:rsidP="008820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Тематическое направление нацеливает выпускника на размышление о дороге: реальной, воображаемой, книжной. </w:t>
      </w:r>
    </w:p>
    <w:p w:rsidR="008820B8" w:rsidRDefault="008820B8" w:rsidP="008820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Выпускник сможет написать о личном опыте путешествий и путевых впечатлениях других людей, дорожных приключениях литературных героев, фантазийных перемещениях во времени и в пространстве, о теме дороги в произведениях искусства. Не исключено понимание дороги как пути научных исследований и творческих </w:t>
      </w:r>
      <w:r>
        <w:rPr>
          <w:sz w:val="28"/>
          <w:szCs w:val="28"/>
        </w:rPr>
        <w:lastRenderedPageBreak/>
        <w:t xml:space="preserve">поисков. Дорога может быть осмыслена не только в конкретном, но и в символическом значении. Темы сочинений позволят рассуждать о том, как человек на жизненном пути обретает практический и духовный опыт, меняется, лучше понимает самого себя и других людей. </w:t>
      </w:r>
    </w:p>
    <w:p w:rsidR="008820B8" w:rsidRDefault="008820B8" w:rsidP="008820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Цивилизация и технологии — спасение, вызов или трагедия? </w:t>
      </w:r>
    </w:p>
    <w:p w:rsidR="009F77F3" w:rsidRDefault="008820B8" w:rsidP="009F77F3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Тематическое направление заостряет внимание выпускника на достижениях и рисках цивилизации, надеждах и страхах, связанных с ее плодами. </w:t>
      </w:r>
      <w:r w:rsidR="009F77F3">
        <w:rPr>
          <w:sz w:val="28"/>
          <w:szCs w:val="28"/>
        </w:rPr>
        <w:t xml:space="preserve">Темы сочинений будут способствовать раздумьям выпускника о собственном опыте столкновения с технологическими новшествами и экологическими проблемами, дадут импульс к рассуждению о влиянии научно-технического прогресса на человека и окружающий его мир. Все эти проблемы стали особенно актуальны на фоне вызовов пандемии 2020−2021 годов. Темы позволят задуматься о диалектике «плюсов» и «минусов» </w:t>
      </w:r>
      <w:proofErr w:type="spellStart"/>
      <w:r w:rsidR="009F77F3">
        <w:rPr>
          <w:sz w:val="28"/>
          <w:szCs w:val="28"/>
        </w:rPr>
        <w:t>цивилизационного</w:t>
      </w:r>
      <w:proofErr w:type="spellEnd"/>
      <w:r w:rsidR="009F77F3">
        <w:rPr>
          <w:sz w:val="28"/>
          <w:szCs w:val="28"/>
        </w:rPr>
        <w:t xml:space="preserve"> процесса, о благих и трагических последствиях развития технологий, о способах достижения равновесия между материально-техническими завоеваниями и духовными ценностями человечества</w:t>
      </w:r>
      <w:r w:rsidR="009F77F3" w:rsidRPr="009F77F3">
        <w:rPr>
          <w:b/>
          <w:bCs/>
          <w:sz w:val="28"/>
          <w:szCs w:val="28"/>
        </w:rPr>
        <w:t xml:space="preserve"> </w:t>
      </w:r>
    </w:p>
    <w:p w:rsidR="009F77F3" w:rsidRDefault="009F77F3" w:rsidP="009F77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Преступление и наказание — вечная тема. </w:t>
      </w:r>
    </w:p>
    <w:p w:rsidR="009F77F3" w:rsidRDefault="009F77F3" w:rsidP="009F77F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Тематическое направление предлагает осмыслить «преступление» и «наказание» как социальные и нравственные явления, соотнести их с понятиями закона, совести, стыда, ответственности, раскаяния. </w:t>
      </w:r>
      <w:proofErr w:type="gramEnd"/>
    </w:p>
    <w:p w:rsidR="009F77F3" w:rsidRDefault="009F77F3" w:rsidP="009F77F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Темы сочинений позволят анализировать и оценивать поступки человека с правовой и этической точек зрения.</w:t>
      </w:r>
      <w:proofErr w:type="gramEnd"/>
      <w:r>
        <w:rPr>
          <w:sz w:val="28"/>
          <w:szCs w:val="28"/>
        </w:rPr>
        <w:t xml:space="preserve"> В рассуждениях можно касаться таких проблем, как ответственность за сделанный выбор, последствия преступления для окружающих и самого преступника, возмездие и муки совести и др. </w:t>
      </w:r>
    </w:p>
    <w:p w:rsidR="009F77F3" w:rsidRDefault="009F77F3" w:rsidP="009F77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Многообразны литературные источники, рассматривающие вечную тему с научной точки зрения (юридической, психологической, социальной, философской). Богата названной проблематикой публицистическая, мемуарная и художественная литература, в которой особое место занимает роман «Преступление и наказание» Ф. М. Достоевского, 200-летний юбилей со </w:t>
      </w:r>
      <w:proofErr w:type="gramStart"/>
      <w:r>
        <w:rPr>
          <w:sz w:val="28"/>
          <w:szCs w:val="28"/>
        </w:rPr>
        <w:t>дня</w:t>
      </w:r>
      <w:proofErr w:type="gramEnd"/>
      <w:r>
        <w:rPr>
          <w:sz w:val="28"/>
          <w:szCs w:val="28"/>
        </w:rPr>
        <w:t xml:space="preserve"> рождения которого все человечество будет </w:t>
      </w:r>
    </w:p>
    <w:p w:rsidR="009F77F3" w:rsidRDefault="009F77F3" w:rsidP="009F77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отмечать в конце 2021 года. </w:t>
      </w:r>
    </w:p>
    <w:p w:rsidR="009F77F3" w:rsidRDefault="009F77F3" w:rsidP="009F77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Книга (музыка, спектакль, фильм) — про меня. </w:t>
      </w:r>
    </w:p>
    <w:p w:rsidR="009F77F3" w:rsidRDefault="009F77F3" w:rsidP="009F77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Тематическое направление позволяет высказаться о произведении различных видов искусства (литература, музыка, театр или кино, в том числе мультипликационное или документальное), которое является личностно важным для автора сочинения. </w:t>
      </w:r>
    </w:p>
    <w:p w:rsidR="009F77F3" w:rsidRDefault="009F77F3" w:rsidP="009F77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 жизненным опытом выпускника, актуальность проблематики, близость психологических и мировоззренческих установок автора и выпускника. </w:t>
      </w:r>
    </w:p>
    <w:p w:rsidR="009F77F3" w:rsidRDefault="009F77F3" w:rsidP="009F77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Высказываясь о произведении искусства с опорой на собственный опыт осмысления жизни, участник итогового сочинения может привлечь при аргументации примеры из художественных текстов (включая сценарии), мемуаров, дневников, публицистики, а также из искусствоведческих трудов критиков и ученых.</w:t>
      </w:r>
    </w:p>
    <w:p w:rsidR="009F77F3" w:rsidRDefault="009F77F3" w:rsidP="009F77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Кому на Руси жить хорошо? — вопрос гражданина</w:t>
      </w:r>
      <w:r>
        <w:rPr>
          <w:sz w:val="28"/>
          <w:szCs w:val="28"/>
        </w:rPr>
        <w:t xml:space="preserve">. </w:t>
      </w:r>
    </w:p>
    <w:p w:rsidR="001255AB" w:rsidRDefault="009F77F3" w:rsidP="009F77F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Тематическое направление сформулировано с отсылкой к известной поэме Н. А. Некрасова, 200-летие со </w:t>
      </w:r>
      <w:proofErr w:type="gramStart"/>
      <w:r>
        <w:rPr>
          <w:sz w:val="28"/>
          <w:szCs w:val="28"/>
        </w:rPr>
        <w:t>дня</w:t>
      </w:r>
      <w:proofErr w:type="gramEnd"/>
      <w:r>
        <w:rPr>
          <w:sz w:val="28"/>
          <w:szCs w:val="28"/>
        </w:rPr>
        <w:t xml:space="preserve"> рождения которого отмечается в конце 2021 года. Поставленный вопрос дает возможность рассуждать о самом понятии «гражданин», об общественной справедливости и личной ответственности гражданина, о счастье и долге, о причинах социальных пороков и способах их устранения, о необходимости помогать тем, у кого возникли жизненные проблемы, о путях совершенствования общественного и государственного устройства.</w:t>
      </w:r>
    </w:p>
    <w:p w:rsidR="001255AB" w:rsidRDefault="001255AB" w:rsidP="009F77F3">
      <w:pPr>
        <w:pStyle w:val="Default"/>
        <w:rPr>
          <w:sz w:val="28"/>
          <w:szCs w:val="28"/>
        </w:rPr>
      </w:pPr>
    </w:p>
    <w:p w:rsidR="001255AB" w:rsidRPr="001255AB" w:rsidRDefault="001255AB" w:rsidP="009F77F3">
      <w:pPr>
        <w:pStyle w:val="Default"/>
        <w:rPr>
          <w:b/>
          <w:sz w:val="36"/>
          <w:szCs w:val="36"/>
        </w:rPr>
      </w:pPr>
      <w:r w:rsidRPr="001255AB">
        <w:rPr>
          <w:b/>
          <w:sz w:val="36"/>
          <w:szCs w:val="36"/>
        </w:rPr>
        <w:t>Условия написания и система оценивания ИС  2021-2022.</w:t>
      </w:r>
    </w:p>
    <w:p w:rsidR="009F77F3" w:rsidRDefault="009F77F3" w:rsidP="009F77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5AB" w:rsidRDefault="001255AB" w:rsidP="001255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Темы сочинений, ориентированные на широкий круг социально-философских вопросов, позволят соотнести историю и современность, опереться на читательский кругозор и опыт социально-значимой деятельности выпускника.</w:t>
      </w:r>
    </w:p>
    <w:p w:rsidR="001255AB" w:rsidRDefault="001255AB" w:rsidP="001255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раскрытии тем этого направления можно привлечь для аргументации примеры из художественной, исторической, психологической, философской литературы и публицистики, обозначая при их интерпретации свою гражданскую и нравственную позицию. </w:t>
      </w:r>
    </w:p>
    <w:p w:rsidR="001255AB" w:rsidRDefault="001255AB" w:rsidP="001255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комплекты тем итогового сочинения станут известны за 15 минут до его начала. </w:t>
      </w:r>
    </w:p>
    <w:p w:rsidR="001255AB" w:rsidRDefault="009F77F3" w:rsidP="001255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Оценивается сочинение по системе «зачет»/«незачет».</w:t>
      </w:r>
    </w:p>
    <w:p w:rsidR="009F77F3" w:rsidRDefault="009F77F3" w:rsidP="001255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К сдаче единого государственного экзамена и государственного выпускного экзамена допускают только выпускников, получивших «зачет». Обучающиеся с ограниченными возможностями здоровья вместо итогового сочинения вправе выбрать написание изложения. </w:t>
      </w:r>
    </w:p>
    <w:p w:rsidR="009F77F3" w:rsidRDefault="009F77F3" w:rsidP="009F77F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Сочинение оценивается по двум требованиям (объем и самостоятельность написания) и пяти критериям («Соответствие теме»; «Аргументация.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Привлечение литературного материала»; «Композиция и логика рассуждения»; «Качество письменной речи»; «Грамотность»). </w:t>
      </w:r>
      <w:proofErr w:type="gramEnd"/>
    </w:p>
    <w:p w:rsidR="009F77F3" w:rsidRDefault="009F77F3" w:rsidP="009F77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оценки «зачет» необходимо иметь положительный результат по двум требованиям и трем критериям («зачет» по критериям № 1 и № 2 — в обязательном порядке, а также «зачет» по одному из других критериев). </w:t>
      </w:r>
    </w:p>
    <w:p w:rsidR="008820B8" w:rsidRDefault="008820B8" w:rsidP="008820B8">
      <w:pPr>
        <w:pStyle w:val="Default"/>
        <w:rPr>
          <w:sz w:val="28"/>
          <w:szCs w:val="28"/>
        </w:rPr>
      </w:pPr>
    </w:p>
    <w:p w:rsidR="009F77F3" w:rsidRDefault="009F77F3" w:rsidP="009F77F3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 </w:t>
      </w:r>
    </w:p>
    <w:sectPr w:rsidR="009F77F3" w:rsidSect="009F77F3">
      <w:pgSz w:w="11906" w:h="16838"/>
      <w:pgMar w:top="1134" w:right="849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6476"/>
    <w:multiLevelType w:val="multilevel"/>
    <w:tmpl w:val="A48A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8820B8"/>
    <w:rsid w:val="00072BF0"/>
    <w:rsid w:val="001255AB"/>
    <w:rsid w:val="00681573"/>
    <w:rsid w:val="008820B8"/>
    <w:rsid w:val="008A1209"/>
    <w:rsid w:val="009F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0" w:line="27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3"/>
  </w:style>
  <w:style w:type="paragraph" w:styleId="1">
    <w:name w:val="heading 1"/>
    <w:basedOn w:val="a"/>
    <w:link w:val="10"/>
    <w:uiPriority w:val="9"/>
    <w:qFormat/>
    <w:rsid w:val="009F77F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77F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0B8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77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7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F77F3"/>
    <w:rPr>
      <w:b/>
      <w:bCs/>
    </w:rPr>
  </w:style>
  <w:style w:type="paragraph" w:customStyle="1" w:styleId="has-normal-font-size">
    <w:name w:val="has-normal-font-size"/>
    <w:basedOn w:val="a"/>
    <w:rsid w:val="009F77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77F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F77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753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1468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9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1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59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47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14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Круглянская СОШ</dc:creator>
  <cp:lastModifiedBy>МБУ Круглянская СОШ</cp:lastModifiedBy>
  <cp:revision>1</cp:revision>
  <dcterms:created xsi:type="dcterms:W3CDTF">2021-10-27T07:01:00Z</dcterms:created>
  <dcterms:modified xsi:type="dcterms:W3CDTF">2021-10-27T07:53:00Z</dcterms:modified>
</cp:coreProperties>
</file>