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EE" w:rsidRPr="00E24E02" w:rsidRDefault="00E2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4E02">
        <w:rPr>
          <w:rFonts w:ascii="Times New Roman" w:hAnsi="Times New Roman" w:cs="Times New Roman"/>
          <w:sz w:val="28"/>
          <w:szCs w:val="28"/>
        </w:rPr>
        <w:t>вторская разработка со</w:t>
      </w:r>
      <w:r>
        <w:rPr>
          <w:rFonts w:ascii="Times New Roman" w:hAnsi="Times New Roman" w:cs="Times New Roman"/>
          <w:sz w:val="28"/>
          <w:szCs w:val="28"/>
        </w:rPr>
        <w:t>здание интерактивных и</w:t>
      </w:r>
      <w:r w:rsidRPr="00E24E02">
        <w:rPr>
          <w:rFonts w:ascii="Times New Roman" w:hAnsi="Times New Roman" w:cs="Times New Roman"/>
          <w:sz w:val="28"/>
          <w:szCs w:val="28"/>
        </w:rPr>
        <w:t>гр для детей дошкольного возраста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24E02">
        <w:rPr>
          <w:rFonts w:ascii="Times New Roman" w:hAnsi="Times New Roman" w:cs="Times New Roman"/>
          <w:sz w:val="28"/>
          <w:szCs w:val="28"/>
        </w:rPr>
        <w:t>гра с фонариком Символы России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Использование развивающих игр в работе с детьми дошкольного возраста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Картотека подвижных игр разных народов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Картотека русских народных подвижных игр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>-игра «Мир разных народов» для старших дошкольников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Комплект игр - Финансовая грамотность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 xml:space="preserve">Методические рекомендации «Организация игровой деятельности детей в соответствии с ФГОС </w:t>
      </w:r>
      <w:proofErr w:type="gramStart"/>
      <w:r w:rsidRPr="00E24E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E02">
        <w:rPr>
          <w:rFonts w:ascii="Times New Roman" w:hAnsi="Times New Roman" w:cs="Times New Roman"/>
          <w:sz w:val="28"/>
          <w:szCs w:val="28"/>
        </w:rPr>
        <w:t>»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 xml:space="preserve">Современная организация игровой деятельности у дошкольников в соответствии с ФГОС </w:t>
      </w:r>
      <w:proofErr w:type="gramStart"/>
      <w:r w:rsidRPr="00E24E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E02">
        <w:rPr>
          <w:rFonts w:ascii="Times New Roman" w:hAnsi="Times New Roman" w:cs="Times New Roman"/>
          <w:sz w:val="28"/>
          <w:szCs w:val="28"/>
        </w:rPr>
        <w:t xml:space="preserve"> и ФОП ДО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 xml:space="preserve"> «Путешествие в 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>. Остановка Хлебная площадь» для детей подготовительной группы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>-игры «Города-герои Великой Отечественной войны» для старших дошкольников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>-игры ко Дню России «В поисках флага» для детей старшего дошкольного возраста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Сценарий КВН «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Светоотражалочка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Светофориус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 xml:space="preserve"> и злая колдунья Авария»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Сценарий онлайн-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 xml:space="preserve">-игры «Мой любимый папа» ко Дню защитника Отечества для группы раннего развития 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Чем отличаются режиссерские игры от игр-драматизаций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 xml:space="preserve">Чудеса и не только конспект игрового занятия 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 xml:space="preserve">Интеллектуальная игра для педагогов «Путешествие в прошлое истории донского казачества» 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Развивающие игры нового поколения в интеллектуальном развитии дошкольников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t>Современные развивающие игры для детей.</w:t>
      </w:r>
    </w:p>
    <w:p w:rsidR="00E24E02" w:rsidRPr="00E24E02" w:rsidRDefault="00E24E02">
      <w:pPr>
        <w:rPr>
          <w:rFonts w:ascii="Times New Roman" w:hAnsi="Times New Roman" w:cs="Times New Roman"/>
          <w:sz w:val="28"/>
          <w:szCs w:val="28"/>
        </w:rPr>
      </w:pPr>
      <w:r w:rsidRPr="00E24E02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 в страну Фольклор </w:t>
      </w:r>
      <w:proofErr w:type="spellStart"/>
      <w:r w:rsidRPr="00E24E0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E24E02">
        <w:rPr>
          <w:rFonts w:ascii="Times New Roman" w:hAnsi="Times New Roman" w:cs="Times New Roman"/>
          <w:sz w:val="28"/>
          <w:szCs w:val="28"/>
        </w:rPr>
        <w:t xml:space="preserve"> Л.П.</w:t>
      </w:r>
    </w:p>
    <w:sectPr w:rsidR="00E24E02" w:rsidRPr="00E2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2"/>
    <w:rsid w:val="003C6E20"/>
    <w:rsid w:val="00BE390D"/>
    <w:rsid w:val="00E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2024-03-26T11:04:00Z</dcterms:created>
  <dcterms:modified xsi:type="dcterms:W3CDTF">2024-03-26T11:10:00Z</dcterms:modified>
</cp:coreProperties>
</file>