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BB7757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BB7757" w:rsidP="00F52B61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BB7757" w:rsidRPr="006F29A4" w:rsidTr="00F52B6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6F29A4" w:rsidRDefault="00E4412D" w:rsidP="00F52B61">
            <w:pPr>
              <w:rPr>
                <w:sz w:val="32"/>
              </w:rPr>
            </w:pPr>
            <w:r w:rsidRPr="00E02E7F">
              <w:rPr>
                <w:rStyle w:val="c3"/>
              </w:rPr>
              <w:t>Ваулина Ю.Е., Эванс В., Дули Дж., Подоляко О.Е.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BB7757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2E383C">
              <w:rPr>
                <w:rFonts w:eastAsia="Arial Unicode MS"/>
              </w:rPr>
              <w:t xml:space="preserve"> 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2E383C" w:rsidP="00F52B6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101</w:t>
            </w:r>
            <w:bookmarkStart w:id="0" w:name="_GoBack"/>
            <w:bookmarkEnd w:id="0"/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6F29A4" w:rsidRDefault="00BB7757" w:rsidP="00F52B61">
            <w:pPr>
              <w:rPr>
                <w:bCs/>
                <w:iCs/>
                <w:kern w:val="2"/>
              </w:rPr>
            </w:pPr>
            <w:r w:rsidRPr="006F29A4"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>• р</w:t>
            </w:r>
            <w:r w:rsidRPr="00F92674">
              <w:rPr>
                <w:b/>
                <w:bCs/>
              </w:rPr>
              <w:t xml:space="preserve">азвитие иноязычной коммуникативной компетенции </w:t>
            </w:r>
            <w:r w:rsidRPr="00F92674">
              <w:t>(речевой, языковой, социокультурной, компенсаторной, учебно-познавательной):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речевая компетенция </w:t>
            </w:r>
            <w:r w:rsidRPr="00F92674">
              <w:t>– совершенствование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языковая компетенция </w:t>
            </w:r>
            <w:r w:rsidRPr="00F92674"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>социокультурная / межкультурная компетенция</w:t>
            </w:r>
            <w:r w:rsidRPr="00F92674"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компенсаторная компетенция </w:t>
            </w:r>
            <w:r w:rsidRPr="00F92674">
              <w:t>– развитие умений выходить из положения в условиях дефицита языковых средств при получении и передачи иноязычной информации;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учебно-познавательная компетенция </w:t>
            </w:r>
            <w:r w:rsidRPr="00F92674">
      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BB7757" w:rsidRPr="00F92674" w:rsidRDefault="00BB7757" w:rsidP="00BB7757">
            <w:pPr>
              <w:adjustRightInd w:val="0"/>
              <w:ind w:firstLine="296"/>
            </w:pPr>
            <w:r w:rsidRPr="00F92674">
      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      </w:r>
          </w:p>
          <w:p w:rsidR="00BB7757" w:rsidRPr="006F29A4" w:rsidRDefault="00BB7757" w:rsidP="00BB7757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lastRenderedPageBreak/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6F29A4" w:rsidRDefault="00BB7757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Стили жизни.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6F29A4" w:rsidRDefault="0038660A" w:rsidP="00F52B61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14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757" w:rsidRPr="006F29A4" w:rsidRDefault="00BB7757" w:rsidP="00F52B61">
            <w:pPr>
              <w:jc w:val="both"/>
            </w:pPr>
            <w:r>
              <w:t>Литература.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2E383C" w:rsidP="00F52B61">
            <w:pPr>
              <w:jc w:val="center"/>
            </w:pPr>
            <w:r>
              <w:t>10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r>
              <w:t>Внешность и характер.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pPr>
              <w:jc w:val="center"/>
            </w:pPr>
            <w:r>
              <w:t>11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r>
              <w:t>Средства массовой информации.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2E383C" w:rsidP="00F52B61">
            <w:pPr>
              <w:jc w:val="center"/>
            </w:pPr>
            <w:r>
              <w:t>13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r>
              <w:t>Технический прогресс.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046A80" w:rsidP="00F52B61">
            <w:pPr>
              <w:jc w:val="center"/>
            </w:pPr>
            <w:r>
              <w:t>11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r>
              <w:t>Развлечения.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2E383C" w:rsidP="00F52B61">
            <w:pPr>
              <w:jc w:val="center"/>
            </w:pPr>
            <w:r>
              <w:t>9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Default="00BB7757" w:rsidP="00F52B61">
            <w:r>
              <w:t>Известные люди театра, кино, спорта.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Default="002E383C" w:rsidP="00F52B61">
            <w:pPr>
              <w:jc w:val="center"/>
            </w:pPr>
            <w:r>
              <w:t>9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Default="00BB7757" w:rsidP="00F52B61">
            <w:r>
              <w:t>Проблемы экологии.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Default="00046A80" w:rsidP="00F52B61">
            <w:pPr>
              <w:jc w:val="center"/>
            </w:pPr>
            <w:r>
              <w:t>9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r>
              <w:t>Покупки, магазины.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38660A" w:rsidP="00F52B61">
            <w:pPr>
              <w:jc w:val="center"/>
            </w:pPr>
            <w:r>
              <w:t>8</w:t>
            </w:r>
          </w:p>
        </w:tc>
      </w:tr>
      <w:tr w:rsidR="00BB7757" w:rsidRPr="006F29A4" w:rsidTr="00F52B6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7757" w:rsidRPr="006F29A4" w:rsidRDefault="00BB7757" w:rsidP="00F52B61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BB7757" w:rsidP="00F52B61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В здоровом теле-здоровый дух.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7757" w:rsidRPr="006F29A4" w:rsidRDefault="00046A80" w:rsidP="00F52B61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3D4C9B" w:rsidRDefault="003D4C9B"/>
    <w:sectPr w:rsidR="003D4C9B" w:rsidSect="00380F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3C"/>
    <w:rsid w:val="00046A80"/>
    <w:rsid w:val="002B5C75"/>
    <w:rsid w:val="002E383C"/>
    <w:rsid w:val="00380F3C"/>
    <w:rsid w:val="0038660A"/>
    <w:rsid w:val="003D4C9B"/>
    <w:rsid w:val="00BB7757"/>
    <w:rsid w:val="00E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character" w:customStyle="1" w:styleId="c3">
    <w:name w:val="c3"/>
    <w:basedOn w:val="a0"/>
    <w:rsid w:val="00E4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character" w:customStyle="1" w:styleId="c3">
    <w:name w:val="c3"/>
    <w:basedOn w:val="a0"/>
    <w:rsid w:val="00E4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2017-12-24T09:35:00Z</dcterms:created>
  <dcterms:modified xsi:type="dcterms:W3CDTF">2022-09-29T12:34:00Z</dcterms:modified>
</cp:coreProperties>
</file>